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333333"/>
          <w:spacing w:val="0"/>
          <w:sz w:val="24"/>
          <w:szCs w:val="24"/>
          <w:lang w:val="en-US" w:eastAsia="zh-Hans"/>
        </w:rPr>
      </w:pPr>
      <w:r>
        <w:rPr>
          <w:rFonts w:hint="eastAsia" w:ascii="微软雅黑" w:hAnsi="微软雅黑" w:eastAsia="微软雅黑" w:cs="微软雅黑"/>
          <w:i w:val="0"/>
          <w:iCs w:val="0"/>
          <w:caps w:val="0"/>
          <w:color w:val="333333"/>
          <w:spacing w:val="0"/>
          <w:sz w:val="24"/>
          <w:szCs w:val="24"/>
          <w:lang w:val="en-US" w:eastAsia="zh-CN"/>
        </w:rPr>
        <w:t>西班牙加泰罗尼亚理工大学伊拉斯谟+</w:t>
      </w:r>
      <w:r>
        <w:rPr>
          <w:rFonts w:hint="eastAsia" w:ascii="微软雅黑" w:hAnsi="微软雅黑" w:eastAsia="微软雅黑" w:cs="微软雅黑"/>
          <w:i w:val="0"/>
          <w:iCs w:val="0"/>
          <w:caps w:val="0"/>
          <w:color w:val="333333"/>
          <w:spacing w:val="0"/>
          <w:sz w:val="24"/>
          <w:szCs w:val="24"/>
        </w:rPr>
        <w:t>项目</w:t>
      </w:r>
      <w:r>
        <w:rPr>
          <w:rFonts w:hint="eastAsia" w:ascii="微软雅黑" w:hAnsi="微软雅黑" w:eastAsia="微软雅黑" w:cs="微软雅黑"/>
          <w:i w:val="0"/>
          <w:iCs w:val="0"/>
          <w:caps w:val="0"/>
          <w:color w:val="333333"/>
          <w:spacing w:val="0"/>
          <w:sz w:val="24"/>
          <w:szCs w:val="24"/>
          <w:lang w:val="en-US" w:eastAsia="zh-CN"/>
        </w:rPr>
        <w:t>详细</w:t>
      </w:r>
      <w:bookmarkStart w:id="0" w:name="_GoBack"/>
      <w:bookmarkEnd w:id="0"/>
      <w:r>
        <w:rPr>
          <w:rFonts w:hint="eastAsia" w:ascii="微软雅黑" w:hAnsi="微软雅黑" w:eastAsia="微软雅黑" w:cs="微软雅黑"/>
          <w:i w:val="0"/>
          <w:iCs w:val="0"/>
          <w:caps w:val="0"/>
          <w:color w:val="333333"/>
          <w:spacing w:val="0"/>
          <w:sz w:val="24"/>
          <w:szCs w:val="24"/>
          <w:lang w:val="en-US" w:eastAsia="zh-Hans"/>
        </w:rPr>
        <w:t>介绍</w:t>
      </w:r>
    </w:p>
    <w:p>
      <w:pPr>
        <w:widowControl/>
        <w:jc w:val="left"/>
        <w:rPr>
          <w:rFonts w:hint="eastAsia" w:ascii="宋体" w:hAnsi="宋体" w:eastAsia="宋体" w:cs="宋体"/>
          <w:spacing w:val="15"/>
          <w:kern w:val="0"/>
          <w:sz w:val="24"/>
          <w:szCs w:val="24"/>
          <w:lang w:val="en-US" w:eastAsia="zh-CN"/>
        </w:rPr>
      </w:pPr>
    </w:p>
    <w:p>
      <w:pPr>
        <w:widowControl/>
        <w:jc w:val="left"/>
        <w:rPr>
          <w:rFonts w:hint="default" w:ascii="宋体" w:hAnsi="宋体" w:eastAsia="宋体" w:cs="宋体"/>
          <w:b/>
          <w:bCs/>
          <w:spacing w:val="15"/>
          <w:kern w:val="0"/>
          <w:sz w:val="24"/>
          <w:szCs w:val="24"/>
          <w:lang w:val="en-US" w:eastAsia="zh-CN"/>
        </w:rPr>
      </w:pPr>
      <w:r>
        <w:rPr>
          <w:rFonts w:hint="eastAsia" w:ascii="宋体" w:hAnsi="宋体" w:eastAsia="宋体" w:cs="宋体"/>
          <w:b/>
          <w:bCs/>
          <w:spacing w:val="15"/>
          <w:kern w:val="0"/>
          <w:sz w:val="24"/>
          <w:szCs w:val="24"/>
          <w:lang w:val="en-US" w:eastAsia="zh-CN"/>
        </w:rPr>
        <w:t>一、学校介绍</w:t>
      </w:r>
    </w:p>
    <w:p>
      <w:pPr>
        <w:widowControl/>
        <w:ind w:firstLine="540" w:firstLineChars="200"/>
        <w:jc w:val="left"/>
        <w:rPr>
          <w:rFonts w:hint="eastAsia" w:ascii="宋体" w:hAnsi="宋体" w:eastAsia="宋体" w:cs="宋体"/>
          <w:spacing w:val="15"/>
          <w:kern w:val="0"/>
          <w:sz w:val="24"/>
          <w:szCs w:val="24"/>
        </w:rPr>
      </w:pPr>
      <w:r>
        <w:rPr>
          <w:rFonts w:hint="eastAsia" w:ascii="宋体" w:hAnsi="宋体" w:eastAsia="宋体" w:cs="宋体"/>
          <w:spacing w:val="15"/>
          <w:kern w:val="0"/>
          <w:sz w:val="24"/>
          <w:szCs w:val="24"/>
        </w:rPr>
        <w:t>加泰罗尼亚理工大学（曾用名：巴塞罗那理工大学</w:t>
      </w:r>
      <w:r>
        <w:rPr>
          <w:rFonts w:hint="eastAsia" w:ascii="宋体" w:hAnsi="宋体" w:eastAsia="宋体" w:cs="宋体"/>
          <w:spacing w:val="15"/>
          <w:kern w:val="0"/>
          <w:sz w:val="24"/>
          <w:szCs w:val="24"/>
          <w:lang w:eastAsia="zh-CN"/>
        </w:rPr>
        <w:t>，</w:t>
      </w:r>
      <w:r>
        <w:rPr>
          <w:rFonts w:ascii="Times New Roman" w:hAnsi="Times New Roman" w:eastAsia="宋体" w:cs="Times New Roman"/>
          <w:i w:val="0"/>
          <w:iCs w:val="0"/>
          <w:caps w:val="0"/>
          <w:color w:val="333333"/>
          <w:spacing w:val="0"/>
          <w:sz w:val="24"/>
          <w:szCs w:val="24"/>
        </w:rPr>
        <w:t>Universitat Politècnica de Catalunya</w:t>
      </w:r>
      <w:r>
        <w:rPr>
          <w:rFonts w:hint="eastAsia" w:ascii="Times New Roman" w:hAnsi="Times New Roman" w:eastAsia="宋体" w:cs="Times New Roman"/>
          <w:i w:val="0"/>
          <w:iCs w:val="0"/>
          <w:caps w:val="0"/>
          <w:color w:val="333333"/>
          <w:spacing w:val="0"/>
          <w:sz w:val="24"/>
          <w:szCs w:val="24"/>
          <w:lang w:eastAsia="zh-CN"/>
        </w:rPr>
        <w:t>，</w:t>
      </w:r>
      <w:r>
        <w:rPr>
          <w:rFonts w:hint="eastAsia" w:ascii="Times New Roman" w:hAnsi="Times New Roman" w:eastAsia="宋体" w:cs="Times New Roman"/>
          <w:i w:val="0"/>
          <w:iCs w:val="0"/>
          <w:caps w:val="0"/>
          <w:color w:val="333333"/>
          <w:spacing w:val="0"/>
          <w:sz w:val="24"/>
          <w:szCs w:val="24"/>
          <w:lang w:val="en-US" w:eastAsia="zh-CN"/>
        </w:rPr>
        <w:t>英文缩写UPC</w:t>
      </w:r>
      <w:r>
        <w:rPr>
          <w:rFonts w:hint="eastAsia" w:ascii="宋体" w:hAnsi="宋体" w:eastAsia="宋体" w:cs="宋体"/>
          <w:spacing w:val="15"/>
          <w:kern w:val="0"/>
          <w:sz w:val="24"/>
          <w:szCs w:val="24"/>
        </w:rPr>
        <w:t>）位于西班牙王国-加泰罗尼亚自治区-巴塞罗那市，是西班牙、伊比利亚半岛以及拉丁美洲地区最负盛名的工科大学，也是欧洲一流工科大学。</w:t>
      </w:r>
    </w:p>
    <w:p>
      <w:pPr>
        <w:widowControl/>
        <w:ind w:firstLine="540" w:firstLineChars="200"/>
        <w:jc w:val="left"/>
        <w:rPr>
          <w:rFonts w:hint="eastAsia" w:ascii="宋体" w:hAnsi="宋体" w:eastAsia="宋体" w:cs="宋体"/>
          <w:spacing w:val="15"/>
          <w:kern w:val="0"/>
          <w:sz w:val="24"/>
          <w:szCs w:val="24"/>
        </w:rPr>
      </w:pPr>
      <w:r>
        <w:rPr>
          <w:rFonts w:hint="eastAsia" w:ascii="宋体" w:hAnsi="宋体" w:eastAsia="宋体" w:cs="宋体"/>
          <w:spacing w:val="15"/>
          <w:kern w:val="0"/>
          <w:sz w:val="24"/>
          <w:szCs w:val="24"/>
        </w:rPr>
        <w:t>该校专注于工程技术领域人才培养和科学研究。2022QS综合排名319名。根据2022QS世界工程技术领域综合排名，</w:t>
      </w:r>
      <w:r>
        <w:rPr>
          <w:rFonts w:hint="eastAsia" w:ascii="宋体" w:hAnsi="宋体" w:eastAsia="宋体" w:cs="宋体"/>
          <w:spacing w:val="15"/>
          <w:kern w:val="0"/>
          <w:sz w:val="24"/>
          <w:szCs w:val="24"/>
          <w:lang w:val="en-US" w:eastAsia="zh-CN"/>
        </w:rPr>
        <w:t>该校</w:t>
      </w:r>
      <w:r>
        <w:rPr>
          <w:rFonts w:hint="eastAsia" w:ascii="宋体" w:hAnsi="宋体" w:eastAsia="宋体" w:cs="宋体"/>
          <w:spacing w:val="15"/>
          <w:kern w:val="0"/>
          <w:sz w:val="24"/>
          <w:szCs w:val="24"/>
        </w:rPr>
        <w:t>位列世界第60位。其中细分学科全球排名：建筑学（19），土木与结构工程（29），矿物与采矿工程（49），电气与电子工程（52），机械、航空与制造工程（78），计算机科学与信息系统（86）等多个学科位居世界前100位。</w:t>
      </w:r>
    </w:p>
    <w:p>
      <w:pPr>
        <w:widowControl/>
        <w:ind w:firstLine="540" w:firstLineChars="200"/>
        <w:jc w:val="left"/>
        <w:rPr>
          <w:rFonts w:hint="eastAsia" w:ascii="宋体" w:hAnsi="宋体" w:eastAsia="宋体" w:cs="宋体"/>
          <w:spacing w:val="15"/>
          <w:kern w:val="0"/>
          <w:sz w:val="24"/>
          <w:szCs w:val="24"/>
          <w:lang w:val="en-US" w:eastAsia="zh-CN"/>
        </w:rPr>
      </w:pPr>
    </w:p>
    <w:p>
      <w:pPr>
        <w:widowControl/>
        <w:jc w:val="left"/>
        <w:rPr>
          <w:rFonts w:hint="default" w:ascii="宋体" w:hAnsi="宋体" w:eastAsia="宋体" w:cs="宋体"/>
          <w:spacing w:val="15"/>
          <w:kern w:val="0"/>
          <w:sz w:val="24"/>
          <w:szCs w:val="24"/>
          <w:lang w:val="en-US" w:eastAsia="zh-CN"/>
        </w:rPr>
      </w:pPr>
      <w:r>
        <w:rPr>
          <w:rFonts w:hint="eastAsia" w:ascii="宋体" w:hAnsi="宋体" w:eastAsia="宋体" w:cs="宋体"/>
          <w:b/>
          <w:bCs/>
          <w:spacing w:val="15"/>
          <w:kern w:val="0"/>
          <w:sz w:val="24"/>
          <w:szCs w:val="24"/>
          <w:lang w:val="en-US" w:eastAsia="zh-CN"/>
        </w:rPr>
        <w:t>二、项目介绍</w:t>
      </w:r>
    </w:p>
    <w:p>
      <w:pPr>
        <w:widowControl/>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交换期限：1</w:t>
      </w:r>
      <w:r>
        <w:rPr>
          <w:rFonts w:hint="default" w:ascii="宋体" w:hAnsi="宋体" w:eastAsia="宋体" w:cs="宋体"/>
          <w:spacing w:val="15"/>
          <w:kern w:val="0"/>
          <w:sz w:val="24"/>
          <w:szCs w:val="24"/>
          <w:lang w:eastAsia="zh-CN"/>
        </w:rPr>
        <w:t>-</w:t>
      </w:r>
      <w:r>
        <w:rPr>
          <w:rFonts w:hint="eastAsia" w:ascii="宋体" w:hAnsi="宋体" w:eastAsia="宋体" w:cs="宋体"/>
          <w:spacing w:val="15"/>
          <w:kern w:val="0"/>
          <w:sz w:val="24"/>
          <w:szCs w:val="24"/>
          <w:lang w:val="en-US" w:eastAsia="zh-CN"/>
        </w:rPr>
        <w:t>2个学期（</w:t>
      </w:r>
      <w:r>
        <w:rPr>
          <w:rFonts w:hint="eastAsia" w:ascii="宋体" w:hAnsi="宋体" w:eastAsia="宋体" w:cs="宋体"/>
          <w:spacing w:val="15"/>
          <w:kern w:val="0"/>
          <w:sz w:val="24"/>
          <w:szCs w:val="24"/>
          <w:lang w:val="en-US" w:eastAsia="zh-Hans"/>
        </w:rPr>
        <w:t>不超过</w:t>
      </w:r>
      <w:r>
        <w:rPr>
          <w:rFonts w:hint="default" w:ascii="宋体" w:hAnsi="宋体" w:eastAsia="宋体" w:cs="宋体"/>
          <w:spacing w:val="15"/>
          <w:kern w:val="0"/>
          <w:sz w:val="24"/>
          <w:szCs w:val="24"/>
          <w:lang w:eastAsia="zh-Hans"/>
        </w:rPr>
        <w:t>10</w:t>
      </w:r>
      <w:r>
        <w:rPr>
          <w:rFonts w:hint="eastAsia" w:ascii="宋体" w:hAnsi="宋体" w:eastAsia="宋体" w:cs="宋体"/>
          <w:spacing w:val="15"/>
          <w:kern w:val="0"/>
          <w:sz w:val="24"/>
          <w:szCs w:val="24"/>
          <w:lang w:val="en-US" w:eastAsia="zh-Hans"/>
        </w:rPr>
        <w:t>个月</w:t>
      </w:r>
      <w:r>
        <w:rPr>
          <w:rFonts w:hint="eastAsia" w:ascii="宋体" w:hAnsi="宋体" w:eastAsia="宋体" w:cs="宋体"/>
          <w:spacing w:val="15"/>
          <w:kern w:val="0"/>
          <w:sz w:val="24"/>
          <w:szCs w:val="24"/>
          <w:lang w:val="en-US" w:eastAsia="zh-CN"/>
        </w:rPr>
        <w:t>）</w:t>
      </w:r>
    </w:p>
    <w:tbl>
      <w:tblPr>
        <w:tblStyle w:val="6"/>
        <w:tblW w:w="3090" w:type="pct"/>
        <w:tblInd w:w="1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Pr>
          <w:p>
            <w:pPr>
              <w:widowControl/>
              <w:jc w:val="left"/>
              <w:rPr>
                <w:rFonts w:hint="default" w:ascii="宋体" w:hAnsi="宋体" w:eastAsia="宋体" w:cs="宋体"/>
                <w:b w:val="0"/>
                <w:bCs w:val="0"/>
                <w:spacing w:val="15"/>
                <w:kern w:val="0"/>
                <w:sz w:val="24"/>
                <w:szCs w:val="24"/>
                <w:vertAlign w:val="baseline"/>
                <w:lang w:val="en-US" w:eastAsia="zh-CN"/>
              </w:rPr>
            </w:pPr>
            <w:r>
              <w:rPr>
                <w:rFonts w:hint="eastAsia" w:ascii="宋体" w:hAnsi="宋体" w:eastAsia="宋体" w:cs="宋体"/>
                <w:b w:val="0"/>
                <w:bCs w:val="0"/>
                <w:spacing w:val="15"/>
                <w:kern w:val="0"/>
                <w:sz w:val="24"/>
                <w:szCs w:val="24"/>
                <w:vertAlign w:val="baseline"/>
                <w:lang w:val="en-US" w:eastAsia="zh-CN"/>
              </w:rPr>
              <w:t>秋季学期</w:t>
            </w:r>
          </w:p>
        </w:tc>
        <w:tc>
          <w:tcPr>
            <w:tcW w:w="2824" w:type="pct"/>
          </w:tcPr>
          <w:p>
            <w:pPr>
              <w:widowControl/>
              <w:jc w:val="left"/>
              <w:rPr>
                <w:rFonts w:hint="default" w:ascii="宋体" w:hAnsi="宋体" w:eastAsia="宋体" w:cs="宋体"/>
                <w:b w:val="0"/>
                <w:bCs w:val="0"/>
                <w:spacing w:val="15"/>
                <w:kern w:val="0"/>
                <w:sz w:val="24"/>
                <w:szCs w:val="24"/>
                <w:vertAlign w:val="baseline"/>
                <w:lang w:val="en-US" w:eastAsia="zh-CN"/>
              </w:rPr>
            </w:pPr>
            <w:r>
              <w:rPr>
                <w:rFonts w:hint="eastAsia" w:ascii="宋体" w:hAnsi="宋体" w:eastAsia="宋体" w:cs="宋体"/>
                <w:b w:val="0"/>
                <w:bCs w:val="0"/>
                <w:spacing w:val="15"/>
                <w:kern w:val="0"/>
                <w:sz w:val="24"/>
                <w:szCs w:val="24"/>
                <w:vertAlign w:val="baseline"/>
                <w:lang w:val="en-US" w:eastAsia="zh-CN"/>
              </w:rPr>
              <w:t>9月-次年1月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Pr>
          <w:p>
            <w:pPr>
              <w:widowControl/>
              <w:jc w:val="left"/>
              <w:rPr>
                <w:rFonts w:hint="default" w:ascii="宋体" w:hAnsi="宋体" w:eastAsia="宋体" w:cs="宋体"/>
                <w:b w:val="0"/>
                <w:bCs w:val="0"/>
                <w:spacing w:val="15"/>
                <w:kern w:val="0"/>
                <w:sz w:val="24"/>
                <w:szCs w:val="24"/>
                <w:vertAlign w:val="baseline"/>
                <w:lang w:val="en-US" w:eastAsia="zh-CN"/>
              </w:rPr>
            </w:pPr>
            <w:r>
              <w:rPr>
                <w:rFonts w:hint="eastAsia" w:ascii="宋体" w:hAnsi="宋体" w:eastAsia="宋体" w:cs="宋体"/>
                <w:b w:val="0"/>
                <w:bCs w:val="0"/>
                <w:spacing w:val="15"/>
                <w:kern w:val="0"/>
                <w:sz w:val="24"/>
                <w:szCs w:val="24"/>
                <w:vertAlign w:val="baseline"/>
                <w:lang w:val="en-US" w:eastAsia="zh-CN"/>
              </w:rPr>
              <w:t>春季学期</w:t>
            </w:r>
          </w:p>
        </w:tc>
        <w:tc>
          <w:tcPr>
            <w:tcW w:w="2824" w:type="pct"/>
          </w:tcPr>
          <w:p>
            <w:pPr>
              <w:widowControl/>
              <w:jc w:val="left"/>
              <w:rPr>
                <w:rFonts w:hint="default" w:ascii="宋体" w:hAnsi="宋体" w:eastAsia="宋体" w:cs="宋体"/>
                <w:b w:val="0"/>
                <w:bCs w:val="0"/>
                <w:spacing w:val="15"/>
                <w:kern w:val="0"/>
                <w:sz w:val="24"/>
                <w:szCs w:val="24"/>
                <w:vertAlign w:val="baseline"/>
                <w:lang w:val="en-US" w:eastAsia="zh-CN"/>
              </w:rPr>
            </w:pPr>
            <w:r>
              <w:rPr>
                <w:rFonts w:hint="eastAsia" w:ascii="宋体" w:hAnsi="宋体" w:eastAsia="宋体" w:cs="宋体"/>
                <w:b w:val="0"/>
                <w:bCs w:val="0"/>
                <w:spacing w:val="15"/>
                <w:kern w:val="0"/>
                <w:sz w:val="24"/>
                <w:szCs w:val="24"/>
                <w:vertAlign w:val="baseline"/>
                <w:lang w:val="en-US" w:eastAsia="zh-CN"/>
              </w:rPr>
              <w:t>2月-6月</w:t>
            </w:r>
          </w:p>
        </w:tc>
      </w:tr>
    </w:tbl>
    <w:p>
      <w:pPr>
        <w:widowControl/>
        <w:jc w:val="left"/>
        <w:rPr>
          <w:rFonts w:hint="default" w:ascii="宋体" w:hAnsi="宋体" w:eastAsia="宋体" w:cs="宋体"/>
          <w:b w:val="0"/>
          <w:bCs w:val="0"/>
          <w:spacing w:val="15"/>
          <w:kern w:val="0"/>
          <w:sz w:val="24"/>
          <w:szCs w:val="24"/>
          <w:lang w:val="en-US" w:eastAsia="zh-CN"/>
        </w:rPr>
      </w:pPr>
    </w:p>
    <w:p>
      <w:pPr>
        <w:widowControl/>
        <w:jc w:val="left"/>
        <w:rPr>
          <w:rFonts w:hint="eastAsia" w:ascii="宋体" w:hAnsi="宋体" w:eastAsia="宋体" w:cs="宋体"/>
          <w:b w:val="0"/>
          <w:bCs w:val="0"/>
          <w:spacing w:val="15"/>
          <w:kern w:val="0"/>
          <w:sz w:val="24"/>
          <w:szCs w:val="24"/>
          <w:lang w:val="en-US" w:eastAsia="zh-CN"/>
        </w:rPr>
      </w:pPr>
      <w:r>
        <w:rPr>
          <w:rFonts w:hint="eastAsia" w:ascii="宋体" w:hAnsi="宋体" w:eastAsia="宋体" w:cs="宋体"/>
          <w:b w:val="0"/>
          <w:bCs w:val="0"/>
          <w:spacing w:val="15"/>
          <w:kern w:val="0"/>
          <w:sz w:val="24"/>
          <w:szCs w:val="24"/>
          <w:lang w:val="en-US" w:eastAsia="zh-CN"/>
        </w:rPr>
        <w:t>交换专业及名额</w:t>
      </w:r>
    </w:p>
    <w:p>
      <w:pPr>
        <w:widowControl/>
        <w:jc w:val="left"/>
        <w:rPr>
          <w:rFonts w:hint="eastAsia" w:ascii="宋体" w:hAnsi="宋体" w:eastAsia="宋体" w:cs="宋体"/>
          <w:b w:val="0"/>
          <w:bCs w:val="0"/>
          <w:spacing w:val="15"/>
          <w:kern w:val="0"/>
          <w:sz w:val="24"/>
          <w:szCs w:val="24"/>
          <w:lang w:val="en-US" w:eastAsia="zh-CN"/>
        </w:rPr>
      </w:pPr>
      <w:r>
        <w:rPr>
          <w:rFonts w:hint="eastAsia" w:ascii="宋体" w:hAnsi="宋体" w:eastAsia="宋体" w:cs="宋体"/>
          <w:spacing w:val="15"/>
          <w:kern w:val="0"/>
          <w:sz w:val="24"/>
          <w:szCs w:val="24"/>
          <w:lang w:val="en-US" w:eastAsia="zh-CN"/>
        </w:rPr>
        <w:t>外方大学最多可接受7名我校交换生。</w:t>
      </w:r>
    </w:p>
    <w:p>
      <w:pPr>
        <w:widowControl/>
        <w:numPr>
          <w:ilvl w:val="0"/>
          <w:numId w:val="1"/>
        </w:numPr>
        <w:ind w:left="420" w:leftChars="0" w:hanging="420" w:firstLineChars="0"/>
        <w:jc w:val="left"/>
        <w:rPr>
          <w:rFonts w:hint="eastAsia" w:ascii="Helvetica" w:hAnsi="Helvetica" w:eastAsia="Helvetica" w:cs="Helvetica"/>
          <w:i w:val="0"/>
          <w:iCs w:val="0"/>
          <w:caps w:val="0"/>
          <w:color w:val="353535"/>
          <w:spacing w:val="0"/>
          <w:sz w:val="21"/>
          <w:szCs w:val="21"/>
          <w:highlight w:val="yellow"/>
          <w:shd w:val="clear" w:fill="F9F9F9"/>
          <w:lang w:val="en-US" w:eastAsia="zh-CN"/>
        </w:rPr>
      </w:pPr>
      <w:r>
        <w:rPr>
          <w:rFonts w:hint="eastAsia" w:ascii="宋体" w:hAnsi="宋体" w:eastAsia="宋体" w:cs="宋体"/>
          <w:b w:val="0"/>
          <w:bCs w:val="0"/>
          <w:spacing w:val="15"/>
          <w:kern w:val="0"/>
          <w:sz w:val="24"/>
          <w:szCs w:val="24"/>
          <w:highlight w:val="yellow"/>
          <w:lang w:val="en-US" w:eastAsia="zh-CN"/>
        </w:rPr>
        <w:t>塔拉萨工业、航空航天、视听工程学院（</w:t>
      </w:r>
      <w:r>
        <w:rPr>
          <w:rFonts w:hint="eastAsia" w:ascii="Helvetica" w:hAnsi="Helvetica" w:eastAsia="Helvetica" w:cs="Helvetica"/>
          <w:i w:val="0"/>
          <w:iCs w:val="0"/>
          <w:caps w:val="0"/>
          <w:color w:val="353535"/>
          <w:spacing w:val="0"/>
          <w:sz w:val="21"/>
          <w:szCs w:val="21"/>
          <w:highlight w:val="yellow"/>
          <w:shd w:val="clear" w:fill="F9F9F9"/>
          <w:lang w:val="en-US" w:eastAsia="zh-CN"/>
        </w:rPr>
        <w:t>School of Industrial, Aerospace and Audiovisual Engineering of Terrassa）</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机械设计制造及其自动化相关专业本科生：1人</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化学工程与工艺相关专业本科生或硕士生：1人</w:t>
      </w:r>
    </w:p>
    <w:p>
      <w:pPr>
        <w:keepNext w:val="0"/>
        <w:keepLines w:val="0"/>
        <w:widowControl/>
        <w:suppressLineNumbers w:val="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交换课程列表</w:t>
      </w:r>
      <w:r>
        <w:rPr>
          <w:rFonts w:ascii="Calibri" w:hAnsi="Calibri" w:eastAsia="宋体" w:cs="Calibri"/>
          <w:color w:val="0000FF"/>
          <w:kern w:val="0"/>
          <w:sz w:val="24"/>
          <w:szCs w:val="24"/>
          <w:lang w:val="en-US" w:eastAsia="zh-CN" w:bidi="ar"/>
        </w:rPr>
        <w:t>https://eseiaat.upc.edu/ca/international-office/incomings/study-at-eseiaat</w:t>
      </w:r>
    </w:p>
    <w:p>
      <w:pPr>
        <w:widowControl/>
        <w:numPr>
          <w:ilvl w:val="0"/>
          <w:numId w:val="1"/>
        </w:numPr>
        <w:ind w:left="420" w:leftChars="0" w:hanging="420" w:firstLineChars="0"/>
        <w:jc w:val="left"/>
        <w:rPr>
          <w:rFonts w:hint="eastAsia" w:ascii="宋体" w:hAnsi="宋体" w:eastAsia="宋体" w:cs="宋体"/>
          <w:b w:val="0"/>
          <w:bCs w:val="0"/>
          <w:spacing w:val="15"/>
          <w:kern w:val="0"/>
          <w:sz w:val="24"/>
          <w:szCs w:val="24"/>
          <w:highlight w:val="yellow"/>
          <w:lang w:val="en-US" w:eastAsia="zh-CN"/>
        </w:rPr>
      </w:pPr>
      <w:r>
        <w:rPr>
          <w:rFonts w:hint="eastAsia" w:ascii="宋体" w:hAnsi="宋体" w:eastAsia="宋体" w:cs="宋体"/>
          <w:b w:val="0"/>
          <w:bCs w:val="0"/>
          <w:spacing w:val="15"/>
          <w:kern w:val="0"/>
          <w:sz w:val="24"/>
          <w:szCs w:val="24"/>
          <w:highlight w:val="yellow"/>
          <w:lang w:val="en-US" w:eastAsia="zh-CN"/>
        </w:rPr>
        <w:t>巴塞罗那东部工程学院（</w:t>
      </w:r>
      <w:r>
        <w:rPr>
          <w:rFonts w:hint="eastAsia" w:ascii="Helvetica" w:hAnsi="Helvetica" w:eastAsia="Helvetica" w:cs="Helvetica"/>
          <w:i w:val="0"/>
          <w:iCs w:val="0"/>
          <w:caps w:val="0"/>
          <w:color w:val="353535"/>
          <w:spacing w:val="0"/>
          <w:sz w:val="21"/>
          <w:szCs w:val="21"/>
          <w:highlight w:val="yellow"/>
          <w:shd w:val="clear" w:fill="F9F9F9"/>
          <w:lang w:val="en-US" w:eastAsia="zh-CN"/>
        </w:rPr>
        <w:t>Barcelona East School of Engineering）</w:t>
      </w:r>
    </w:p>
    <w:p>
      <w:pPr>
        <w:widowControl/>
        <w:numPr>
          <w:ilvl w:val="0"/>
          <w:numId w:val="3"/>
        </w:numPr>
        <w:ind w:left="420" w:leftChars="0" w:hanging="420" w:firstLineChars="0"/>
        <w:jc w:val="left"/>
        <w:rPr>
          <w:rFonts w:hint="eastAsia" w:ascii="宋体" w:hAnsi="宋体" w:eastAsia="宋体" w:cs="宋体"/>
          <w:b w:val="0"/>
          <w:bCs w:val="0"/>
          <w:spacing w:val="15"/>
          <w:kern w:val="0"/>
          <w:sz w:val="24"/>
          <w:szCs w:val="24"/>
          <w:lang w:val="en-US" w:eastAsia="zh-CN"/>
        </w:rPr>
      </w:pPr>
      <w:r>
        <w:rPr>
          <w:rFonts w:hint="eastAsia" w:ascii="宋体" w:hAnsi="宋体" w:eastAsia="宋体" w:cs="宋体"/>
          <w:b w:val="0"/>
          <w:bCs w:val="0"/>
          <w:spacing w:val="15"/>
          <w:kern w:val="0"/>
          <w:sz w:val="24"/>
          <w:szCs w:val="24"/>
          <w:lang w:val="en-US" w:eastAsia="zh-CN"/>
        </w:rPr>
        <w:t>化学化工、电力、能源、机械（</w:t>
      </w:r>
      <w:r>
        <w:rPr>
          <w:rFonts w:hint="eastAsia" w:ascii="Helvetica" w:hAnsi="Helvetica" w:eastAsia="Helvetica" w:cs="Helvetica"/>
          <w:i w:val="0"/>
          <w:iCs w:val="0"/>
          <w:caps w:val="0"/>
          <w:color w:val="353535"/>
          <w:spacing w:val="0"/>
          <w:sz w:val="21"/>
          <w:szCs w:val="21"/>
          <w:shd w:val="clear" w:fill="F9F9F9"/>
          <w:lang w:val="en-US" w:eastAsia="zh-CN"/>
        </w:rPr>
        <w:t>Chemical engineering and processes/Electricity and energy/Mechanics and metal trades</w:t>
      </w:r>
      <w:r>
        <w:rPr>
          <w:rFonts w:hint="eastAsia" w:ascii="宋体" w:hAnsi="宋体" w:eastAsia="宋体" w:cs="宋体"/>
          <w:b w:val="0"/>
          <w:bCs w:val="0"/>
          <w:spacing w:val="15"/>
          <w:kern w:val="0"/>
          <w:sz w:val="24"/>
          <w:szCs w:val="24"/>
          <w:lang w:val="en-US" w:eastAsia="zh-CN"/>
        </w:rPr>
        <w:t>)相关专业本科生：3人</w:t>
      </w:r>
    </w:p>
    <w:p>
      <w:pPr>
        <w:widowControl/>
        <w:numPr>
          <w:ilvl w:val="0"/>
          <w:numId w:val="3"/>
        </w:numPr>
        <w:ind w:left="420" w:leftChars="0" w:hanging="420" w:firstLineChars="0"/>
        <w:jc w:val="left"/>
        <w:rPr>
          <w:rFonts w:hint="default" w:ascii="宋体" w:hAnsi="宋体" w:eastAsia="宋体" w:cs="宋体"/>
          <w:b w:val="0"/>
          <w:bCs w:val="0"/>
          <w:spacing w:val="15"/>
          <w:kern w:val="0"/>
          <w:sz w:val="24"/>
          <w:szCs w:val="24"/>
          <w:lang w:val="en-US" w:eastAsia="zh-CN"/>
        </w:rPr>
      </w:pPr>
      <w:r>
        <w:rPr>
          <w:rFonts w:hint="eastAsia" w:ascii="宋体" w:hAnsi="宋体" w:eastAsia="宋体" w:cs="宋体"/>
          <w:spacing w:val="15"/>
          <w:kern w:val="0"/>
          <w:sz w:val="24"/>
          <w:szCs w:val="24"/>
          <w:lang w:val="en-US" w:eastAsia="zh-CN"/>
        </w:rPr>
        <w:t>工程、制造、建筑</w:t>
      </w:r>
      <w:r>
        <w:rPr>
          <w:rFonts w:hint="eastAsia" w:ascii="Helvetica" w:hAnsi="Helvetica" w:eastAsia="Helvetica" w:cs="Helvetica"/>
          <w:i w:val="0"/>
          <w:iCs w:val="0"/>
          <w:caps w:val="0"/>
          <w:color w:val="353535"/>
          <w:spacing w:val="0"/>
          <w:sz w:val="21"/>
          <w:szCs w:val="21"/>
          <w:shd w:val="clear" w:fill="F9F9F9"/>
          <w:lang w:val="en-US" w:eastAsia="zh-CN"/>
        </w:rPr>
        <w:t>(Inter-disciplinary programmes and qualifications involving engineering, manufacturing and construction)</w:t>
      </w:r>
      <w:r>
        <w:rPr>
          <w:rFonts w:hint="eastAsia" w:ascii="宋体" w:hAnsi="宋体" w:eastAsia="宋体" w:cs="宋体"/>
          <w:spacing w:val="15"/>
          <w:kern w:val="0"/>
          <w:sz w:val="24"/>
          <w:szCs w:val="24"/>
          <w:lang w:val="en-US" w:eastAsia="zh-CN"/>
        </w:rPr>
        <w:t>相关专业硕士生：2人</w:t>
      </w:r>
    </w:p>
    <w:p>
      <w:pPr>
        <w:widowControl/>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交换课程列表</w:t>
      </w:r>
    </w:p>
    <w:p>
      <w:pPr>
        <w:widowControl/>
        <w:jc w:val="left"/>
        <w:rPr>
          <w:rStyle w:val="10"/>
          <w:rFonts w:ascii="Verdana" w:hAnsi="Verdana"/>
          <w:sz w:val="20"/>
        </w:rPr>
      </w:pPr>
      <w:r>
        <w:fldChar w:fldCharType="begin"/>
      </w:r>
      <w:r>
        <w:instrText xml:space="preserve"> HYPERLINK "https://eebe.upc.edu/en/incoming/Courses-and-Projects" </w:instrText>
      </w:r>
      <w:r>
        <w:fldChar w:fldCharType="separate"/>
      </w:r>
      <w:r>
        <w:rPr>
          <w:rStyle w:val="10"/>
          <w:rFonts w:ascii="Verdana" w:hAnsi="Verdana"/>
          <w:sz w:val="20"/>
        </w:rPr>
        <w:t>https://eebe.upc.edu/en/incoming/Courses-and-Projects</w:t>
      </w:r>
      <w:r>
        <w:rPr>
          <w:rStyle w:val="10"/>
          <w:rFonts w:ascii="Verdana" w:hAnsi="Verdana"/>
          <w:sz w:val="20"/>
        </w:rPr>
        <w:fldChar w:fldCharType="end"/>
      </w:r>
    </w:p>
    <w:p>
      <w:pPr>
        <w:widowControl/>
        <w:jc w:val="left"/>
        <w:rPr>
          <w:rStyle w:val="10"/>
          <w:rFonts w:hint="eastAsia" w:ascii="Verdana" w:hAnsi="Verdana"/>
          <w:sz w:val="20"/>
          <w:lang w:val="en-US" w:eastAsia="zh-CN"/>
        </w:rPr>
      </w:pPr>
    </w:p>
    <w:p>
      <w:pPr>
        <w:widowControl/>
        <w:jc w:val="left"/>
        <w:rPr>
          <w:rFonts w:hint="eastAsia" w:ascii="宋体" w:hAnsi="宋体" w:eastAsia="宋体" w:cs="宋体"/>
          <w:b w:val="0"/>
          <w:bCs w:val="0"/>
          <w:spacing w:val="15"/>
          <w:kern w:val="0"/>
          <w:sz w:val="24"/>
          <w:szCs w:val="24"/>
          <w:lang w:val="en-US" w:eastAsia="zh-CN"/>
        </w:rPr>
      </w:pPr>
      <w:r>
        <w:rPr>
          <w:rFonts w:hint="eastAsia" w:ascii="宋体" w:hAnsi="宋体" w:eastAsia="宋体" w:cs="宋体"/>
          <w:b w:val="0"/>
          <w:bCs w:val="0"/>
          <w:spacing w:val="15"/>
          <w:kern w:val="0"/>
          <w:sz w:val="24"/>
          <w:szCs w:val="24"/>
          <w:lang w:val="en-US" w:eastAsia="zh-CN"/>
        </w:rPr>
        <w:t>相关费用</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免学费和注册费</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Hans"/>
        </w:rPr>
        <w:t>国际旅费</w:t>
      </w:r>
      <w:r>
        <w:rPr>
          <w:rFonts w:hint="default" w:ascii="宋体" w:hAnsi="宋体" w:eastAsia="宋体" w:cs="宋体"/>
          <w:spacing w:val="15"/>
          <w:kern w:val="0"/>
          <w:sz w:val="24"/>
          <w:szCs w:val="24"/>
          <w:lang w:eastAsia="zh-Hans"/>
        </w:rPr>
        <w:t>、</w:t>
      </w:r>
      <w:r>
        <w:rPr>
          <w:rFonts w:hint="eastAsia" w:ascii="宋体" w:hAnsi="宋体" w:eastAsia="宋体" w:cs="宋体"/>
          <w:spacing w:val="15"/>
          <w:kern w:val="0"/>
          <w:sz w:val="24"/>
          <w:szCs w:val="24"/>
          <w:lang w:val="en-US" w:eastAsia="zh-CN"/>
        </w:rPr>
        <w:t>住宿费、生活费等其他费用自理</w:t>
      </w:r>
    </w:p>
    <w:p>
      <w:pPr>
        <w:widowControl/>
        <w:numPr>
          <w:ilvl w:val="0"/>
          <w:numId w:val="0"/>
        </w:numPr>
        <w:ind w:leftChars="0"/>
        <w:jc w:val="left"/>
        <w:rPr>
          <w:rFonts w:hint="eastAsia" w:ascii="宋体" w:hAnsi="宋体" w:eastAsia="宋体" w:cs="宋体"/>
          <w:spacing w:val="15"/>
          <w:kern w:val="0"/>
          <w:sz w:val="24"/>
          <w:szCs w:val="24"/>
          <w:lang w:val="en-US" w:eastAsia="zh-CN"/>
        </w:rPr>
      </w:pPr>
    </w:p>
    <w:p>
      <w:pPr>
        <w:widowControl/>
        <w:numPr>
          <w:ilvl w:val="0"/>
          <w:numId w:val="0"/>
        </w:numPr>
        <w:ind w:left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外方成绩单</w:t>
      </w:r>
    </w:p>
    <w:p>
      <w:pPr>
        <w:widowControl/>
        <w:numPr>
          <w:ilvl w:val="0"/>
          <w:numId w:val="0"/>
        </w:numPr>
        <w:ind w:left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交换生成绩单通常将在结束交换学习后5周内获得，最晚不超过8周。</w:t>
      </w:r>
    </w:p>
    <w:p>
      <w:pPr>
        <w:widowControl/>
        <w:jc w:val="left"/>
        <w:rPr>
          <w:rFonts w:hint="eastAsia" w:ascii="宋体" w:hAnsi="宋体" w:eastAsia="宋体" w:cs="宋体"/>
          <w:b/>
          <w:bCs/>
          <w:spacing w:val="15"/>
          <w:kern w:val="0"/>
          <w:sz w:val="24"/>
          <w:szCs w:val="24"/>
          <w:lang w:val="en-US" w:eastAsia="zh-CN"/>
        </w:rPr>
      </w:pPr>
    </w:p>
    <w:p>
      <w:pPr>
        <w:widowControl/>
        <w:jc w:val="left"/>
        <w:rPr>
          <w:rFonts w:hint="eastAsia" w:ascii="宋体" w:hAnsi="宋体" w:eastAsia="宋体" w:cs="宋体"/>
          <w:spacing w:val="15"/>
          <w:kern w:val="0"/>
          <w:sz w:val="24"/>
          <w:szCs w:val="24"/>
          <w:lang w:val="en-US" w:eastAsia="zh-CN"/>
        </w:rPr>
      </w:pPr>
      <w:r>
        <w:rPr>
          <w:rFonts w:hint="eastAsia" w:ascii="宋体" w:hAnsi="宋体" w:eastAsia="宋体" w:cs="宋体"/>
          <w:b/>
          <w:bCs/>
          <w:spacing w:val="15"/>
          <w:kern w:val="0"/>
          <w:sz w:val="24"/>
          <w:szCs w:val="24"/>
          <w:lang w:val="en-US" w:eastAsia="zh-CN"/>
        </w:rPr>
        <w:t>三、申请条件</w:t>
      </w:r>
    </w:p>
    <w:p>
      <w:pPr>
        <w:widowControl/>
        <w:numPr>
          <w:ilvl w:val="0"/>
          <w:numId w:val="2"/>
        </w:numPr>
        <w:ind w:left="420" w:leftChars="0" w:hanging="420"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highlight w:val="yellow"/>
          <w:lang w:val="en-US" w:eastAsia="zh-CN"/>
        </w:rPr>
        <w:t>与外方大学所提供专业相对应、课程可对接的本科</w:t>
      </w:r>
      <w:r>
        <w:rPr>
          <w:rFonts w:hint="eastAsia" w:ascii="宋体" w:hAnsi="宋体" w:eastAsia="宋体" w:cs="宋体"/>
          <w:spacing w:val="15"/>
          <w:kern w:val="0"/>
          <w:sz w:val="24"/>
          <w:szCs w:val="24"/>
          <w:highlight w:val="yellow"/>
          <w:lang w:val="en-US" w:eastAsia="zh-Hans"/>
        </w:rPr>
        <w:t>生</w:t>
      </w:r>
      <w:r>
        <w:rPr>
          <w:rFonts w:hint="eastAsia" w:ascii="宋体" w:hAnsi="宋体" w:eastAsia="宋体" w:cs="宋体"/>
          <w:spacing w:val="15"/>
          <w:kern w:val="0"/>
          <w:sz w:val="24"/>
          <w:szCs w:val="24"/>
          <w:highlight w:val="yellow"/>
          <w:lang w:val="en-US" w:eastAsia="zh-CN"/>
        </w:rPr>
        <w:t>、</w:t>
      </w:r>
      <w:r>
        <w:rPr>
          <w:rFonts w:hint="eastAsia" w:ascii="宋体" w:hAnsi="宋体" w:eastAsia="宋体" w:cs="宋体"/>
          <w:spacing w:val="15"/>
          <w:kern w:val="0"/>
          <w:sz w:val="24"/>
          <w:szCs w:val="24"/>
          <w:highlight w:val="yellow"/>
          <w:lang w:val="en-US" w:eastAsia="zh-Hans"/>
        </w:rPr>
        <w:t>硕士</w:t>
      </w:r>
      <w:r>
        <w:rPr>
          <w:rFonts w:hint="eastAsia" w:ascii="宋体" w:hAnsi="宋体" w:eastAsia="宋体" w:cs="宋体"/>
          <w:spacing w:val="15"/>
          <w:kern w:val="0"/>
          <w:sz w:val="24"/>
          <w:szCs w:val="24"/>
          <w:highlight w:val="yellow"/>
          <w:lang w:val="en-US" w:eastAsia="zh-CN"/>
        </w:rPr>
        <w:t>生均可报名；</w:t>
      </w:r>
    </w:p>
    <w:p>
      <w:pPr>
        <w:widowControl/>
        <w:numPr>
          <w:ilvl w:val="0"/>
          <w:numId w:val="2"/>
        </w:numPr>
        <w:ind w:left="420" w:leftChars="0" w:hanging="420"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身体健康，品学兼优，具备自主申请能力；</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所学专业与外方专业课程相同或相近，可满足学分兑换；</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highlight w:val="cyan"/>
          <w:lang w:val="en-US" w:eastAsia="zh-CN"/>
        </w:rPr>
        <w:t>英语水平达到雅思6/托福80分以上水平。如无雅思/托福成绩，可提供大学英语四级考试540分以上/六级考试500分以上证书。</w:t>
      </w:r>
      <w:r>
        <w:rPr>
          <w:rFonts w:hint="eastAsia" w:ascii="宋体" w:hAnsi="宋体" w:eastAsia="宋体" w:cs="宋体"/>
          <w:spacing w:val="15"/>
          <w:kern w:val="0"/>
          <w:sz w:val="24"/>
          <w:szCs w:val="24"/>
          <w:lang w:val="en-US" w:eastAsia="zh-CN"/>
        </w:rPr>
        <w:t>以上皆无，可提供所在学院开具英语达到以上水平、满足赴外学习要求的英文版证明，需有签名和盖章。</w:t>
      </w:r>
    </w:p>
    <w:p>
      <w:pPr>
        <w:widowControl/>
        <w:numPr>
          <w:ilvl w:val="0"/>
          <w:numId w:val="2"/>
        </w:numPr>
        <w:ind w:left="420" w:leftChars="0" w:hanging="420" w:firstLineChars="0"/>
        <w:jc w:val="left"/>
        <w:rPr>
          <w:rFonts w:hint="default"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有能力自行支付国际旅费、住宿费、交换期间生活费（根据当地消费水平和个人情况自行调研测算）、保险等。</w:t>
      </w:r>
    </w:p>
    <w:p>
      <w:pPr>
        <w:widowControl/>
        <w:jc w:val="left"/>
        <w:rPr>
          <w:rFonts w:hint="default" w:ascii="宋体" w:hAnsi="宋体" w:eastAsia="宋体" w:cs="宋体"/>
          <w:spacing w:val="15"/>
          <w:kern w:val="0"/>
          <w:sz w:val="24"/>
          <w:szCs w:val="24"/>
          <w:lang w:val="en-US" w:eastAsia="zh-CN"/>
        </w:rPr>
      </w:pPr>
    </w:p>
    <w:p>
      <w:pPr>
        <w:widowControl/>
        <w:jc w:val="left"/>
        <w:rPr>
          <w:rFonts w:hint="eastAsia" w:ascii="宋体" w:hAnsi="宋体" w:eastAsia="宋体" w:cs="宋体"/>
          <w:spacing w:val="15"/>
          <w:kern w:val="0"/>
          <w:sz w:val="24"/>
          <w:szCs w:val="24"/>
          <w:lang w:val="en-US" w:eastAsia="zh-CN"/>
        </w:rPr>
      </w:pPr>
      <w:r>
        <w:rPr>
          <w:rFonts w:hint="eastAsia" w:ascii="宋体" w:hAnsi="宋体" w:eastAsia="宋体" w:cs="宋体"/>
          <w:b/>
          <w:bCs/>
          <w:spacing w:val="15"/>
          <w:kern w:val="0"/>
          <w:sz w:val="24"/>
          <w:szCs w:val="24"/>
          <w:lang w:val="en-US" w:eastAsia="zh-CN"/>
        </w:rPr>
        <w:t>四、申请和选拔程序</w:t>
      </w:r>
    </w:p>
    <w:p>
      <w:pPr>
        <w:widowControl/>
        <w:numPr>
          <w:ilvl w:val="0"/>
          <w:numId w:val="2"/>
        </w:numPr>
        <w:ind w:left="420" w:leftChars="0" w:hanging="420"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fldChar w:fldCharType="begin"/>
      </w:r>
      <w:r>
        <w:rPr>
          <w:rFonts w:hint="eastAsia" w:ascii="宋体" w:hAnsi="宋体" w:eastAsia="宋体" w:cs="宋体"/>
          <w:spacing w:val="15"/>
          <w:kern w:val="0"/>
          <w:sz w:val="24"/>
          <w:szCs w:val="24"/>
          <w:lang w:val="en-US" w:eastAsia="zh-CN"/>
        </w:rPr>
        <w:instrText xml:space="preserve"> HYPERLINK "mailto:请各学院根据学术能力、英语水平和综合素质对学生进行选拔，择优推荐，将《中国石油大学（华东）研究生境外学习交流项目申请表》（完成所有签章）发送至ligaoqing@upc.edu.cn" </w:instrText>
      </w:r>
      <w:r>
        <w:rPr>
          <w:rFonts w:hint="eastAsia" w:ascii="宋体" w:hAnsi="宋体" w:eastAsia="宋体" w:cs="宋体"/>
          <w:spacing w:val="15"/>
          <w:kern w:val="0"/>
          <w:sz w:val="24"/>
          <w:szCs w:val="24"/>
          <w:lang w:val="en-US" w:eastAsia="zh-CN"/>
        </w:rPr>
        <w:fldChar w:fldCharType="separate"/>
      </w:r>
      <w:r>
        <w:rPr>
          <w:rFonts w:hint="eastAsia" w:ascii="宋体" w:hAnsi="宋体" w:eastAsia="宋体" w:cs="宋体"/>
          <w:spacing w:val="15"/>
          <w:kern w:val="0"/>
          <w:sz w:val="24"/>
          <w:szCs w:val="24"/>
          <w:lang w:val="en-US" w:eastAsia="zh-CN"/>
        </w:rPr>
        <w:t>请各学院根据学习学术能力、英语水平、综合素质以及课程对接情况对学生进行选拔，择优推荐，于5月5日前将《院部推选交换生名单》、英文简历、中英文成绩单、英文水平证明发至ligaoqing@upc.edu.cn</w:t>
      </w:r>
      <w:r>
        <w:rPr>
          <w:rFonts w:hint="eastAsia" w:ascii="宋体" w:hAnsi="宋体" w:eastAsia="宋体" w:cs="宋体"/>
          <w:spacing w:val="15"/>
          <w:kern w:val="0"/>
          <w:sz w:val="24"/>
          <w:szCs w:val="24"/>
          <w:lang w:val="en-US" w:eastAsia="zh-CN"/>
        </w:rPr>
        <w:fldChar w:fldCharType="end"/>
      </w:r>
    </w:p>
    <w:p>
      <w:pPr>
        <w:widowControl/>
        <w:numPr>
          <w:ilvl w:val="0"/>
          <w:numId w:val="2"/>
        </w:numPr>
        <w:ind w:left="420" w:leftChars="0" w:hanging="420"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如院部推荐人数超过外方大学可接收人数，学校有关部门将根据学生综合水平和学院推荐意见综合确定拟派出名单，并通知相关学院；</w:t>
      </w:r>
    </w:p>
    <w:p>
      <w:pPr>
        <w:widowControl/>
        <w:numPr>
          <w:ilvl w:val="0"/>
          <w:numId w:val="2"/>
        </w:numPr>
        <w:ind w:left="420" w:leftChars="0" w:hanging="420"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列入拟派出名单的学生，待外方正式通知获得录取后，须在5月31日之前完成外方官网线上申请（详见外方网站），并在本学期结束前完成校内派出手续。</w:t>
      </w:r>
    </w:p>
    <w:p>
      <w:pPr>
        <w:widowControl/>
        <w:jc w:val="left"/>
        <w:rPr>
          <w:rFonts w:hint="default" w:ascii="宋体" w:hAnsi="宋体" w:eastAsia="宋体" w:cs="宋体"/>
          <w:spacing w:val="15"/>
          <w:kern w:val="0"/>
          <w:sz w:val="24"/>
          <w:szCs w:val="24"/>
          <w:lang w:val="en-US" w:eastAsia="zh-CN"/>
        </w:rPr>
      </w:pPr>
    </w:p>
    <w:p>
      <w:pPr>
        <w:widowControl/>
        <w:numPr>
          <w:ilvl w:val="0"/>
          <w:numId w:val="4"/>
        </w:numPr>
        <w:jc w:val="left"/>
        <w:rPr>
          <w:rStyle w:val="8"/>
          <w:rFonts w:hint="eastAsia" w:ascii="宋体" w:hAnsi="宋体" w:eastAsia="宋体" w:cs="宋体"/>
          <w:b/>
          <w:bCs/>
          <w:i w:val="0"/>
          <w:iCs w:val="0"/>
          <w:caps w:val="0"/>
          <w:color w:val="333333"/>
          <w:spacing w:val="0"/>
          <w:sz w:val="24"/>
          <w:szCs w:val="24"/>
          <w:shd w:val="clear" w:fill="FFFFFF"/>
          <w:lang w:val="en-US" w:eastAsia="zh-CN"/>
        </w:rPr>
      </w:pPr>
      <w:r>
        <w:rPr>
          <w:rStyle w:val="8"/>
          <w:rFonts w:hint="eastAsia" w:ascii="宋体" w:hAnsi="宋体" w:eastAsia="宋体" w:cs="宋体"/>
          <w:b/>
          <w:bCs/>
          <w:i w:val="0"/>
          <w:iCs w:val="0"/>
          <w:caps w:val="0"/>
          <w:color w:val="333333"/>
          <w:spacing w:val="0"/>
          <w:sz w:val="24"/>
          <w:szCs w:val="24"/>
          <w:shd w:val="clear" w:fill="FFFFFF"/>
        </w:rPr>
        <w:t>派出学生的培养和管理</w:t>
      </w:r>
    </w:p>
    <w:p>
      <w:pPr>
        <w:widowControl/>
        <w:numPr>
          <w:ilvl w:val="0"/>
          <w:numId w:val="2"/>
        </w:numPr>
        <w:ind w:left="420" w:leftChars="0" w:hanging="420" w:firstLineChars="0"/>
        <w:jc w:val="left"/>
        <w:rPr>
          <w:rFonts w:hint="eastAsia" w:ascii="宋体" w:hAnsi="宋体" w:eastAsia="宋体" w:cs="宋体"/>
          <w:spacing w:val="15"/>
          <w:kern w:val="0"/>
          <w:sz w:val="24"/>
          <w:szCs w:val="24"/>
          <w:highlight w:val="yellow"/>
          <w:lang w:val="en-US" w:eastAsia="zh-CN"/>
        </w:rPr>
      </w:pPr>
      <w:r>
        <w:rPr>
          <w:rFonts w:hint="eastAsia" w:ascii="宋体" w:hAnsi="宋体" w:eastAsia="宋体" w:cs="宋体"/>
          <w:spacing w:val="15"/>
          <w:kern w:val="0"/>
          <w:sz w:val="24"/>
          <w:szCs w:val="24"/>
          <w:highlight w:val="yellow"/>
          <w:lang w:val="en-US" w:eastAsia="zh-CN"/>
        </w:rPr>
        <w:t>派出学生须遵守我校和外方大学的各项规章制度，派出前需签署《中国石油大学（华东）大学生赴国外学习交流协议书》并参加行前教育培训。</w:t>
      </w:r>
    </w:p>
    <w:p>
      <w:pPr>
        <w:widowControl/>
        <w:numPr>
          <w:ilvl w:val="0"/>
          <w:numId w:val="2"/>
        </w:numPr>
        <w:ind w:left="420" w:leftChars="0" w:hanging="420" w:firstLineChars="0"/>
        <w:jc w:val="left"/>
        <w:rPr>
          <w:rFonts w:hint="eastAsia" w:ascii="宋体" w:hAnsi="宋体" w:eastAsia="宋体" w:cs="宋体"/>
          <w:spacing w:val="15"/>
          <w:kern w:val="0"/>
          <w:sz w:val="24"/>
          <w:szCs w:val="24"/>
          <w:highlight w:val="yellow"/>
          <w:lang w:val="en-US" w:eastAsia="zh-CN"/>
        </w:rPr>
      </w:pPr>
      <w:r>
        <w:rPr>
          <w:rFonts w:hint="eastAsia" w:ascii="宋体" w:hAnsi="宋体" w:eastAsia="宋体" w:cs="宋体"/>
          <w:spacing w:val="15"/>
          <w:kern w:val="0"/>
          <w:sz w:val="24"/>
          <w:szCs w:val="24"/>
          <w:highlight w:val="yellow"/>
          <w:lang w:val="en-US" w:eastAsia="zh-CN"/>
        </w:rPr>
        <w:t>派出学生需提前选择赴外所修读课程，做好学业规划，并按照学院及教务处或研究生院要求做好课程对接手续，项目结束返校后及时进行学分认定。学院应提前做好校际交流项目备案工作，并协助学生做好课程修读计划制订、学籍异动手续办理、课程学分认定等工作。</w:t>
      </w:r>
    </w:p>
    <w:p>
      <w:pPr>
        <w:widowControl/>
        <w:numPr>
          <w:ilvl w:val="0"/>
          <w:numId w:val="2"/>
        </w:numPr>
        <w:ind w:left="420" w:leftChars="0" w:hanging="420"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highlight w:val="yellow"/>
          <w:lang w:val="en-US" w:eastAsia="zh-CN"/>
        </w:rPr>
        <w:t>项目结束后，学生需提交学习报告并按照学校安排进行经验分享。</w:t>
      </w:r>
    </w:p>
    <w:p>
      <w:pPr>
        <w:widowControl/>
        <w:jc w:val="left"/>
        <w:rPr>
          <w:rFonts w:hint="eastAsia" w:ascii="宋体" w:hAnsi="宋体" w:eastAsia="宋体" w:cs="宋体"/>
          <w:b/>
          <w:bCs/>
          <w:spacing w:val="15"/>
          <w:kern w:val="0"/>
          <w:sz w:val="24"/>
          <w:szCs w:val="24"/>
          <w:lang w:val="en-US" w:eastAsia="zh-CN"/>
        </w:rPr>
      </w:pPr>
    </w:p>
    <w:p>
      <w:pPr>
        <w:widowControl/>
        <w:jc w:val="left"/>
        <w:rPr>
          <w:rFonts w:hint="eastAsia" w:ascii="宋体" w:hAnsi="宋体" w:eastAsia="宋体" w:cs="宋体"/>
          <w:spacing w:val="15"/>
          <w:kern w:val="0"/>
          <w:sz w:val="24"/>
          <w:szCs w:val="24"/>
          <w:lang w:val="en-US" w:eastAsia="zh-CN"/>
        </w:rPr>
      </w:pPr>
      <w:r>
        <w:rPr>
          <w:rFonts w:hint="eastAsia" w:ascii="宋体" w:hAnsi="宋体" w:eastAsia="宋体" w:cs="宋体"/>
          <w:b/>
          <w:bCs/>
          <w:spacing w:val="15"/>
          <w:kern w:val="0"/>
          <w:sz w:val="24"/>
          <w:szCs w:val="24"/>
          <w:lang w:val="en-US" w:eastAsia="zh-CN"/>
        </w:rPr>
        <w:t>六、重要提示</w:t>
      </w:r>
    </w:p>
    <w:p>
      <w:pPr>
        <w:numPr>
          <w:ilvl w:val="0"/>
          <w:numId w:val="5"/>
        </w:numPr>
        <w:ind w:left="425" w:leftChars="0" w:hanging="425" w:firstLineChars="0"/>
        <w:rPr>
          <w:rFonts w:hint="eastAsia" w:ascii="Verdana" w:hAnsi="Verdana" w:eastAsiaTheme="minorEastAsia"/>
          <w:sz w:val="20"/>
          <w:lang w:val="en-US" w:eastAsia="zh-CN"/>
        </w:rPr>
      </w:pPr>
      <w:r>
        <w:rPr>
          <w:rFonts w:hint="eastAsia" w:ascii="宋体" w:hAnsi="宋体" w:eastAsia="宋体" w:cs="宋体"/>
          <w:spacing w:val="15"/>
          <w:kern w:val="0"/>
          <w:sz w:val="24"/>
          <w:szCs w:val="24"/>
          <w:lang w:val="en-US" w:eastAsia="zh-CN"/>
        </w:rPr>
        <w:t>交换生应自主通过外方大学官网详细查询项目、课程和申请程序等相关信息。不具备自主申请能力者不予考虑。</w:t>
      </w:r>
    </w:p>
    <w:p>
      <w:pPr>
        <w:numPr>
          <w:ilvl w:val="0"/>
          <w:numId w:val="6"/>
        </w:numPr>
        <w:ind w:left="420" w:leftChars="0" w:hanging="420" w:firstLineChars="0"/>
        <w:rPr>
          <w:rFonts w:hint="eastAsia"/>
        </w:rPr>
      </w:pPr>
      <w:r>
        <w:rPr>
          <w:rFonts w:hint="eastAsia" w:ascii="宋体" w:hAnsi="宋体" w:eastAsia="宋体" w:cs="宋体"/>
          <w:spacing w:val="15"/>
          <w:kern w:val="0"/>
          <w:sz w:val="24"/>
          <w:szCs w:val="24"/>
        </w:rPr>
        <w:t>加泰罗尼亚理工大学</w:t>
      </w:r>
      <w:r>
        <w:rPr>
          <w:rFonts w:hint="eastAsia" w:ascii="宋体" w:hAnsi="宋体" w:eastAsia="宋体" w:cs="宋体"/>
          <w:spacing w:val="15"/>
          <w:kern w:val="0"/>
          <w:sz w:val="24"/>
          <w:szCs w:val="24"/>
          <w:lang w:val="en-US" w:eastAsia="zh-CN"/>
        </w:rPr>
        <w:t>网站</w:t>
      </w:r>
      <w:r>
        <w:rPr>
          <w:rFonts w:hint="eastAsia"/>
        </w:rPr>
        <w:fldChar w:fldCharType="begin"/>
      </w:r>
      <w:r>
        <w:rPr>
          <w:rFonts w:hint="eastAsia"/>
        </w:rPr>
        <w:instrText xml:space="preserve"> HYPERLINK "https://www.upc.edu/en?set_language=en" </w:instrText>
      </w:r>
      <w:r>
        <w:rPr>
          <w:rFonts w:hint="eastAsia"/>
        </w:rPr>
        <w:fldChar w:fldCharType="separate"/>
      </w:r>
      <w:r>
        <w:rPr>
          <w:rStyle w:val="10"/>
          <w:rFonts w:hint="eastAsia"/>
        </w:rPr>
        <w:t>https://www.upc.edu/en?set_language=en</w:t>
      </w:r>
      <w:r>
        <w:rPr>
          <w:rFonts w:hint="eastAsia"/>
        </w:rPr>
        <w:fldChar w:fldCharType="end"/>
      </w:r>
    </w:p>
    <w:p>
      <w:pPr>
        <w:numPr>
          <w:ilvl w:val="0"/>
          <w:numId w:val="6"/>
        </w:numPr>
        <w:ind w:left="420" w:leftChars="0" w:hanging="420" w:firstLineChars="0"/>
        <w:rPr>
          <w:rFonts w:hint="default" w:ascii="宋体" w:hAnsi="宋体" w:eastAsia="宋体" w:cs="宋体"/>
          <w:b w:val="0"/>
          <w:bCs w:val="0"/>
          <w:spacing w:val="15"/>
          <w:kern w:val="0"/>
          <w:sz w:val="24"/>
          <w:szCs w:val="24"/>
          <w:lang w:val="en-US" w:eastAsia="zh-CN"/>
        </w:rPr>
      </w:pPr>
      <w:r>
        <w:rPr>
          <w:rFonts w:hint="eastAsia" w:ascii="宋体" w:hAnsi="宋体" w:eastAsia="宋体" w:cs="宋体"/>
          <w:b w:val="0"/>
          <w:bCs w:val="0"/>
          <w:spacing w:val="15"/>
          <w:kern w:val="0"/>
          <w:sz w:val="24"/>
          <w:szCs w:val="24"/>
          <w:lang w:val="en-US" w:eastAsia="zh-CN"/>
        </w:rPr>
        <w:t>塔拉萨工业、航空航天、视听工程学院网站</w:t>
      </w:r>
    </w:p>
    <w:p>
      <w:pPr>
        <w:numPr>
          <w:ilvl w:val="0"/>
          <w:numId w:val="0"/>
        </w:numPr>
        <w:ind w:leftChars="0" w:firstLine="420" w:firstLineChars="0"/>
        <w:rPr>
          <w:rFonts w:hint="eastAsia" w:ascii="Verdana" w:hAnsi="Verdana" w:eastAsiaTheme="minorEastAsia"/>
          <w:sz w:val="20"/>
          <w:lang w:val="en-US" w:eastAsia="zh-CN"/>
        </w:rPr>
      </w:pPr>
      <w:r>
        <w:fldChar w:fldCharType="begin"/>
      </w:r>
      <w:r>
        <w:instrText xml:space="preserve"> HYPERLINK "https://eseiaat.upc.edu/ca/international-office" </w:instrText>
      </w:r>
      <w:r>
        <w:fldChar w:fldCharType="separate"/>
      </w:r>
      <w:r>
        <w:rPr>
          <w:rStyle w:val="9"/>
          <w:rFonts w:ascii="Verdana" w:hAnsi="Verdana"/>
          <w:sz w:val="20"/>
        </w:rPr>
        <w:t>https://eseiaat.upc.edu/ca/international-office</w:t>
      </w:r>
      <w:r>
        <w:rPr>
          <w:rStyle w:val="10"/>
          <w:rFonts w:ascii="Verdana" w:hAnsi="Verdana"/>
          <w:sz w:val="20"/>
        </w:rPr>
        <w:fldChar w:fldCharType="end"/>
      </w:r>
    </w:p>
    <w:p>
      <w:pPr>
        <w:keepNext w:val="0"/>
        <w:keepLines w:val="0"/>
        <w:widowControl/>
        <w:numPr>
          <w:ilvl w:val="0"/>
          <w:numId w:val="0"/>
        </w:numPr>
        <w:suppressLineNumbers w:val="0"/>
        <w:shd w:val="clear" w:fill="FFFFFF"/>
        <w:spacing w:before="0" w:beforeAutospacing="0" w:after="0" w:afterAutospacing="0"/>
        <w:ind w:leftChars="0" w:right="0" w:rightChars="0" w:firstLine="420" w:firstLineChars="0"/>
        <w:jc w:val="left"/>
        <w:rPr>
          <w:rStyle w:val="10"/>
          <w:rFonts w:ascii="Verdana" w:hAnsi="Verdana"/>
          <w:sz w:val="20"/>
        </w:rPr>
      </w:pPr>
      <w:r>
        <w:fldChar w:fldCharType="begin"/>
      </w:r>
      <w:r>
        <w:instrText xml:space="preserve"> HYPERLINK "https://eseiaat.upc.edu/ca/international-office/incomings/study-at-eseiaat" </w:instrText>
      </w:r>
      <w:r>
        <w:fldChar w:fldCharType="separate"/>
      </w:r>
      <w:r>
        <w:rPr>
          <w:rStyle w:val="9"/>
          <w:rFonts w:ascii="Verdana" w:hAnsi="Verdana"/>
          <w:sz w:val="20"/>
        </w:rPr>
        <w:t>https://eseiaat.upc.edu/ca/international-office/incomings/study-at-eseiaat</w:t>
      </w:r>
      <w:r>
        <w:rPr>
          <w:rStyle w:val="10"/>
          <w:rFonts w:ascii="Verdana" w:hAnsi="Verdana"/>
          <w:sz w:val="20"/>
        </w:rPr>
        <w:fldChar w:fldCharType="end"/>
      </w:r>
    </w:p>
    <w:p>
      <w:pPr>
        <w:keepNext w:val="0"/>
        <w:keepLines w:val="0"/>
        <w:widowControl/>
        <w:numPr>
          <w:ilvl w:val="0"/>
          <w:numId w:val="6"/>
        </w:numPr>
        <w:suppressLineNumbers w:val="0"/>
        <w:shd w:val="clear" w:fill="FFFFFF"/>
        <w:spacing w:before="0" w:beforeAutospacing="0" w:after="0" w:afterAutospacing="0"/>
        <w:ind w:left="420" w:leftChars="0" w:right="0" w:rightChars="0" w:hanging="420" w:firstLineChars="0"/>
        <w:jc w:val="left"/>
        <w:rPr>
          <w:rFonts w:hint="default" w:ascii="宋体" w:hAnsi="宋体" w:eastAsia="宋体" w:cs="宋体"/>
          <w:b w:val="0"/>
          <w:bCs w:val="0"/>
          <w:spacing w:val="15"/>
          <w:kern w:val="0"/>
          <w:sz w:val="24"/>
          <w:szCs w:val="24"/>
          <w:lang w:val="en-US" w:eastAsia="zh-CN"/>
        </w:rPr>
      </w:pPr>
      <w:r>
        <w:rPr>
          <w:rFonts w:hint="eastAsia" w:ascii="宋体" w:hAnsi="宋体" w:eastAsia="宋体" w:cs="宋体"/>
          <w:b w:val="0"/>
          <w:bCs w:val="0"/>
          <w:spacing w:val="15"/>
          <w:kern w:val="0"/>
          <w:sz w:val="24"/>
          <w:szCs w:val="24"/>
          <w:lang w:val="en-US" w:eastAsia="zh-CN"/>
        </w:rPr>
        <w:t>巴塞罗那东部工程学院网站</w:t>
      </w:r>
    </w:p>
    <w:p>
      <w:pPr>
        <w:keepNext w:val="0"/>
        <w:keepLines w:val="0"/>
        <w:widowControl/>
        <w:numPr>
          <w:ilvl w:val="0"/>
          <w:numId w:val="0"/>
        </w:numPr>
        <w:suppressLineNumbers w:val="0"/>
        <w:shd w:val="clear" w:fill="FFFFFF"/>
        <w:spacing w:before="0" w:beforeAutospacing="0" w:after="0" w:afterAutospacing="0"/>
        <w:ind w:leftChars="0" w:right="0" w:rightChars="0" w:firstLine="420" w:firstLineChars="0"/>
        <w:jc w:val="left"/>
        <w:rPr>
          <w:rFonts w:ascii="Verdana" w:hAnsi="Verdana"/>
          <w:sz w:val="20"/>
        </w:rPr>
      </w:pPr>
      <w:r>
        <w:fldChar w:fldCharType="begin"/>
      </w:r>
      <w:r>
        <w:instrText xml:space="preserve"> HYPERLINK "https://eebe.upc.edu/en" </w:instrText>
      </w:r>
      <w:r>
        <w:fldChar w:fldCharType="separate"/>
      </w:r>
      <w:r>
        <w:rPr>
          <w:rStyle w:val="10"/>
          <w:rFonts w:ascii="Verdana" w:hAnsi="Verdana"/>
          <w:sz w:val="20"/>
        </w:rPr>
        <w:t>https://eebe.upc.edu/en</w:t>
      </w:r>
      <w:r>
        <w:rPr>
          <w:rStyle w:val="10"/>
          <w:rFonts w:ascii="Verdana" w:hAnsi="Verdana"/>
          <w:sz w:val="20"/>
        </w:rPr>
        <w:fldChar w:fldCharType="end"/>
      </w:r>
      <w:r>
        <w:rPr>
          <w:rFonts w:ascii="Verdana" w:hAnsi="Verdana"/>
          <w:sz w:val="20"/>
        </w:rPr>
        <w:t xml:space="preserve"> </w:t>
      </w:r>
    </w:p>
    <w:p>
      <w:pPr>
        <w:keepNext w:val="0"/>
        <w:keepLines w:val="0"/>
        <w:widowControl/>
        <w:numPr>
          <w:ilvl w:val="0"/>
          <w:numId w:val="0"/>
        </w:numPr>
        <w:suppressLineNumbers w:val="0"/>
        <w:shd w:val="clear" w:fill="FFFFFF"/>
        <w:spacing w:before="0" w:beforeAutospacing="0" w:after="0" w:afterAutospacing="0"/>
        <w:ind w:leftChars="0" w:right="0" w:rightChars="0" w:firstLine="420" w:firstLineChars="0"/>
        <w:jc w:val="left"/>
        <w:rPr>
          <w:rFonts w:hint="eastAsia" w:ascii="宋体" w:hAnsi="宋体" w:eastAsia="宋体" w:cs="宋体"/>
          <w:spacing w:val="15"/>
          <w:kern w:val="0"/>
          <w:sz w:val="24"/>
          <w:szCs w:val="24"/>
          <w:lang w:val="en-US" w:eastAsia="zh-CN"/>
        </w:rPr>
      </w:pPr>
      <w:r>
        <w:fldChar w:fldCharType="begin"/>
      </w:r>
      <w:r>
        <w:instrText xml:space="preserve"> HYPERLINK "https://eebe.upc.edu/en/incoming/Courses-and-Projects" </w:instrText>
      </w:r>
      <w:r>
        <w:fldChar w:fldCharType="separate"/>
      </w:r>
      <w:r>
        <w:rPr>
          <w:rStyle w:val="10"/>
          <w:rFonts w:ascii="Verdana" w:hAnsi="Verdana"/>
          <w:sz w:val="20"/>
        </w:rPr>
        <w:t>https://eebe.upc.edu/en/incoming/Courses-and-Projects</w:t>
      </w:r>
      <w:r>
        <w:rPr>
          <w:rStyle w:val="10"/>
          <w:rFonts w:ascii="Verdana" w:hAnsi="Verdana"/>
          <w:sz w:val="20"/>
        </w:rPr>
        <w:fldChar w:fldCharType="end"/>
      </w:r>
    </w:p>
    <w:p>
      <w:pPr>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Calibri" w:hAnsi="Calibri" w:eastAsia="宋体" w:cs="Calibri"/>
          <w:i w:val="0"/>
          <w:iCs w:val="0"/>
          <w:caps w:val="0"/>
          <w:color w:val="000000"/>
          <w:spacing w:val="0"/>
          <w:sz w:val="22"/>
          <w:szCs w:val="22"/>
          <w:shd w:val="clear" w:fill="FFFFFF"/>
          <w:lang w:val="en-US" w:eastAsia="zh-CN"/>
        </w:rPr>
      </w:pPr>
      <w:r>
        <w:rPr>
          <w:rFonts w:hint="eastAsia" w:ascii="宋体" w:hAnsi="宋体" w:eastAsia="宋体" w:cs="宋体"/>
          <w:spacing w:val="15"/>
          <w:kern w:val="0"/>
          <w:sz w:val="24"/>
          <w:szCs w:val="24"/>
          <w:lang w:val="en-US" w:eastAsia="zh-CN"/>
        </w:rPr>
        <w:t>如果交换生已获得外方录取、由于自身原因放弃录取资格导致名额浪费，则原则上在本学位学制内无交换生申请资格。</w:t>
      </w:r>
    </w:p>
    <w:p>
      <w:pPr>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Calibri" w:hAnsi="Calibri" w:eastAsia="宋体" w:cs="Calibri"/>
          <w:i w:val="0"/>
          <w:iCs w:val="0"/>
          <w:caps w:val="0"/>
          <w:color w:val="000000"/>
          <w:spacing w:val="0"/>
          <w:sz w:val="22"/>
          <w:szCs w:val="22"/>
          <w:shd w:val="clear" w:fill="FFFFFF"/>
          <w:lang w:val="en-US" w:eastAsia="zh-CN"/>
        </w:rPr>
      </w:pPr>
      <w:r>
        <w:rPr>
          <w:rFonts w:hint="eastAsia" w:ascii="宋体" w:hAnsi="宋体" w:eastAsia="宋体" w:cs="宋体"/>
          <w:spacing w:val="15"/>
          <w:kern w:val="0"/>
          <w:sz w:val="24"/>
          <w:szCs w:val="24"/>
          <w:lang w:val="en-US" w:eastAsia="zh-CN"/>
        </w:rPr>
        <w:t>所选交换课程及数量应由学生本人根据本校专业课程安排与学院进行商定，确保返校后的</w:t>
      </w:r>
      <w:r>
        <w:rPr>
          <w:rFonts w:hint="eastAsia" w:ascii="宋体" w:hAnsi="宋体" w:eastAsia="宋体" w:cs="宋体"/>
          <w:spacing w:val="15"/>
          <w:kern w:val="0"/>
          <w:sz w:val="24"/>
          <w:szCs w:val="24"/>
          <w:highlight w:val="yellow"/>
          <w:lang w:val="en-US" w:eastAsia="zh-CN"/>
        </w:rPr>
        <w:t>学分认定</w:t>
      </w:r>
      <w:r>
        <w:rPr>
          <w:rFonts w:hint="eastAsia" w:ascii="宋体" w:hAnsi="宋体" w:eastAsia="宋体" w:cs="宋体"/>
          <w:spacing w:val="15"/>
          <w:kern w:val="0"/>
          <w:sz w:val="24"/>
          <w:szCs w:val="24"/>
          <w:lang w:val="en-US" w:eastAsia="zh-CN"/>
        </w:rPr>
        <w:t>和按期毕业。需注意外方大学提供的交换生课程并非全部为英文授课。交换生应选择英文授课课程。</w:t>
      </w:r>
    </w:p>
    <w:p>
      <w:pPr>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学院对申请学生的英语能力需根据英语水平证书和实际水平严格把关。</w:t>
      </w:r>
    </w:p>
    <w:p>
      <w:pPr>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Calibri" w:hAnsi="Calibri" w:eastAsia="宋体" w:cs="Calibri"/>
          <w:i w:val="0"/>
          <w:iCs w:val="0"/>
          <w:caps w:val="0"/>
          <w:color w:val="000000"/>
          <w:spacing w:val="0"/>
          <w:sz w:val="22"/>
          <w:szCs w:val="22"/>
          <w:shd w:val="clear" w:fill="FFFFFF"/>
          <w:lang w:val="en-US" w:eastAsia="zh-CN"/>
        </w:rPr>
      </w:pPr>
      <w:r>
        <w:rPr>
          <w:rFonts w:hint="eastAsia" w:ascii="宋体" w:hAnsi="宋体" w:eastAsia="宋体" w:cs="宋体"/>
          <w:i w:val="0"/>
          <w:iCs w:val="0"/>
          <w:caps w:val="0"/>
          <w:color w:val="auto"/>
          <w:spacing w:val="15"/>
          <w:kern w:val="0"/>
          <w:sz w:val="24"/>
          <w:szCs w:val="24"/>
          <w:shd w:val="clear" w:fill="auto"/>
          <w:lang w:val="en-US" w:eastAsia="zh-CN"/>
        </w:rPr>
        <w:t>在外生活费可自行上网查询当地消费水平并根据个人消费水平进行预估。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D8CB"/>
    <w:multiLevelType w:val="singleLevel"/>
    <w:tmpl w:val="8B1AD8CB"/>
    <w:lvl w:ilvl="0" w:tentative="0">
      <w:start w:val="1"/>
      <w:numFmt w:val="bullet"/>
      <w:lvlText w:val=""/>
      <w:lvlJc w:val="left"/>
      <w:pPr>
        <w:ind w:left="420" w:hanging="420"/>
      </w:pPr>
      <w:rPr>
        <w:rFonts w:hint="default" w:ascii="Wingdings" w:hAnsi="Wingdings"/>
      </w:rPr>
    </w:lvl>
  </w:abstractNum>
  <w:abstractNum w:abstractNumId="1">
    <w:nsid w:val="D4206785"/>
    <w:multiLevelType w:val="singleLevel"/>
    <w:tmpl w:val="D4206785"/>
    <w:lvl w:ilvl="0" w:tentative="0">
      <w:start w:val="1"/>
      <w:numFmt w:val="decimal"/>
      <w:lvlText w:val="%1."/>
      <w:lvlJc w:val="left"/>
      <w:pPr>
        <w:ind w:left="425" w:hanging="425"/>
      </w:pPr>
      <w:rPr>
        <w:rFonts w:hint="default"/>
      </w:rPr>
    </w:lvl>
  </w:abstractNum>
  <w:abstractNum w:abstractNumId="2">
    <w:nsid w:val="F838C657"/>
    <w:multiLevelType w:val="singleLevel"/>
    <w:tmpl w:val="F838C657"/>
    <w:lvl w:ilvl="0" w:tentative="0">
      <w:start w:val="1"/>
      <w:numFmt w:val="bullet"/>
      <w:lvlText w:val=""/>
      <w:lvlJc w:val="left"/>
      <w:pPr>
        <w:ind w:left="420" w:hanging="420"/>
      </w:pPr>
      <w:rPr>
        <w:rFonts w:hint="default" w:ascii="Wingdings" w:hAnsi="Wingdings"/>
      </w:rPr>
    </w:lvl>
  </w:abstractNum>
  <w:abstractNum w:abstractNumId="3">
    <w:nsid w:val="1530C909"/>
    <w:multiLevelType w:val="singleLevel"/>
    <w:tmpl w:val="1530C909"/>
    <w:lvl w:ilvl="0" w:tentative="0">
      <w:start w:val="1"/>
      <w:numFmt w:val="bullet"/>
      <w:lvlText w:val=""/>
      <w:lvlJc w:val="left"/>
      <w:pPr>
        <w:ind w:left="420" w:hanging="420"/>
      </w:pPr>
      <w:rPr>
        <w:rFonts w:hint="default" w:ascii="Wingdings" w:hAnsi="Wingdings"/>
      </w:rPr>
    </w:lvl>
  </w:abstractNum>
  <w:abstractNum w:abstractNumId="4">
    <w:nsid w:val="1850D945"/>
    <w:multiLevelType w:val="singleLevel"/>
    <w:tmpl w:val="1850D945"/>
    <w:lvl w:ilvl="0" w:tentative="0">
      <w:start w:val="1"/>
      <w:numFmt w:val="bullet"/>
      <w:lvlText w:val=""/>
      <w:lvlJc w:val="left"/>
      <w:pPr>
        <w:ind w:left="420" w:hanging="420"/>
      </w:pPr>
      <w:rPr>
        <w:rFonts w:hint="default" w:ascii="Wingdings" w:hAnsi="Wingdings"/>
      </w:rPr>
    </w:lvl>
  </w:abstractNum>
  <w:abstractNum w:abstractNumId="5">
    <w:nsid w:val="3789DC1E"/>
    <w:multiLevelType w:val="singleLevel"/>
    <w:tmpl w:val="3789DC1E"/>
    <w:lvl w:ilvl="0" w:tentative="0">
      <w:start w:val="5"/>
      <w:numFmt w:val="chineseCounting"/>
      <w:suff w:val="nothing"/>
      <w:lvlText w:val="%1、"/>
      <w:lvlJc w:val="left"/>
      <w:rPr>
        <w:rFonts w:hint="eastAsia"/>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NjIzY2JjY2ExMTQxMjYyODEwNGVhMDNkOGZmYmIifQ=="/>
  </w:docVars>
  <w:rsids>
    <w:rsidRoot w:val="35046F67"/>
    <w:rsid w:val="005D2854"/>
    <w:rsid w:val="01DF79C5"/>
    <w:rsid w:val="021D673F"/>
    <w:rsid w:val="03806809"/>
    <w:rsid w:val="043577FC"/>
    <w:rsid w:val="04CC1D57"/>
    <w:rsid w:val="053D1A99"/>
    <w:rsid w:val="057C6008"/>
    <w:rsid w:val="067D3496"/>
    <w:rsid w:val="083F3FAD"/>
    <w:rsid w:val="08E81855"/>
    <w:rsid w:val="09CB5F78"/>
    <w:rsid w:val="0A064265"/>
    <w:rsid w:val="0A88778E"/>
    <w:rsid w:val="0AB17A25"/>
    <w:rsid w:val="0B2711C0"/>
    <w:rsid w:val="0BF73038"/>
    <w:rsid w:val="0E122ED0"/>
    <w:rsid w:val="0F4309D7"/>
    <w:rsid w:val="0F8A7E76"/>
    <w:rsid w:val="0FF46D31"/>
    <w:rsid w:val="108B0D18"/>
    <w:rsid w:val="10D12BCF"/>
    <w:rsid w:val="1142587A"/>
    <w:rsid w:val="12F232D0"/>
    <w:rsid w:val="13E14D83"/>
    <w:rsid w:val="13F6026F"/>
    <w:rsid w:val="14004E57"/>
    <w:rsid w:val="1448764C"/>
    <w:rsid w:val="159F14ED"/>
    <w:rsid w:val="15B12FCF"/>
    <w:rsid w:val="16571DC8"/>
    <w:rsid w:val="1773582D"/>
    <w:rsid w:val="178F12E3"/>
    <w:rsid w:val="19006747"/>
    <w:rsid w:val="194D1260"/>
    <w:rsid w:val="1991739F"/>
    <w:rsid w:val="19AC41D9"/>
    <w:rsid w:val="1CBA5F7D"/>
    <w:rsid w:val="1DFF15A5"/>
    <w:rsid w:val="1ECE074D"/>
    <w:rsid w:val="1ED73F5D"/>
    <w:rsid w:val="1EE00481"/>
    <w:rsid w:val="1F291EB3"/>
    <w:rsid w:val="1F6631A2"/>
    <w:rsid w:val="1F666BD8"/>
    <w:rsid w:val="20847C5E"/>
    <w:rsid w:val="20B9542D"/>
    <w:rsid w:val="21436EFA"/>
    <w:rsid w:val="21D333BB"/>
    <w:rsid w:val="22E4784C"/>
    <w:rsid w:val="269C55D5"/>
    <w:rsid w:val="27E56DE5"/>
    <w:rsid w:val="28EC2844"/>
    <w:rsid w:val="29E17ECF"/>
    <w:rsid w:val="2A8E16D9"/>
    <w:rsid w:val="2A9E7B6E"/>
    <w:rsid w:val="2AA61AE2"/>
    <w:rsid w:val="2F2345B2"/>
    <w:rsid w:val="318A528D"/>
    <w:rsid w:val="339E298D"/>
    <w:rsid w:val="35046F67"/>
    <w:rsid w:val="367125DA"/>
    <w:rsid w:val="376C265E"/>
    <w:rsid w:val="379F0A81"/>
    <w:rsid w:val="37ED3969"/>
    <w:rsid w:val="38D1110E"/>
    <w:rsid w:val="392853F4"/>
    <w:rsid w:val="399A3552"/>
    <w:rsid w:val="3B251BE5"/>
    <w:rsid w:val="3B984165"/>
    <w:rsid w:val="3BEB698B"/>
    <w:rsid w:val="3C5C33E5"/>
    <w:rsid w:val="3D7FB619"/>
    <w:rsid w:val="3E007984"/>
    <w:rsid w:val="3E104487"/>
    <w:rsid w:val="3F1104B7"/>
    <w:rsid w:val="41384420"/>
    <w:rsid w:val="41A53138"/>
    <w:rsid w:val="421B789E"/>
    <w:rsid w:val="43A37B4B"/>
    <w:rsid w:val="43F96D1B"/>
    <w:rsid w:val="477261B2"/>
    <w:rsid w:val="47BB2886"/>
    <w:rsid w:val="48364707"/>
    <w:rsid w:val="48524506"/>
    <w:rsid w:val="49366D81"/>
    <w:rsid w:val="49706721"/>
    <w:rsid w:val="49C540E0"/>
    <w:rsid w:val="49D7060F"/>
    <w:rsid w:val="4B187071"/>
    <w:rsid w:val="4B810772"/>
    <w:rsid w:val="4BE86A43"/>
    <w:rsid w:val="4EB250E6"/>
    <w:rsid w:val="50901426"/>
    <w:rsid w:val="5100038B"/>
    <w:rsid w:val="511B754A"/>
    <w:rsid w:val="51324101"/>
    <w:rsid w:val="51D51818"/>
    <w:rsid w:val="520D0FB1"/>
    <w:rsid w:val="5257222D"/>
    <w:rsid w:val="5264494A"/>
    <w:rsid w:val="548804A7"/>
    <w:rsid w:val="56C232D8"/>
    <w:rsid w:val="56DD7F5E"/>
    <w:rsid w:val="576F0018"/>
    <w:rsid w:val="57790E97"/>
    <w:rsid w:val="59CC1752"/>
    <w:rsid w:val="5A1D57B8"/>
    <w:rsid w:val="5A647BDD"/>
    <w:rsid w:val="5ACE4E7E"/>
    <w:rsid w:val="5B4107CD"/>
    <w:rsid w:val="5B461090"/>
    <w:rsid w:val="5C3F4E3C"/>
    <w:rsid w:val="5D5340D1"/>
    <w:rsid w:val="5E302C36"/>
    <w:rsid w:val="5EE035AA"/>
    <w:rsid w:val="5F5A609A"/>
    <w:rsid w:val="60B17DBE"/>
    <w:rsid w:val="61D5316E"/>
    <w:rsid w:val="622A5268"/>
    <w:rsid w:val="628E1C9B"/>
    <w:rsid w:val="62AA19EC"/>
    <w:rsid w:val="631B482E"/>
    <w:rsid w:val="679B6D62"/>
    <w:rsid w:val="694F4CD5"/>
    <w:rsid w:val="69B12712"/>
    <w:rsid w:val="6A457569"/>
    <w:rsid w:val="6BB65DBE"/>
    <w:rsid w:val="6CE626D3"/>
    <w:rsid w:val="6CF64842"/>
    <w:rsid w:val="6D986AFC"/>
    <w:rsid w:val="6DDE2D52"/>
    <w:rsid w:val="6F8C5C2B"/>
    <w:rsid w:val="6FB03FF6"/>
    <w:rsid w:val="70E60EF4"/>
    <w:rsid w:val="71066EA0"/>
    <w:rsid w:val="719B6445"/>
    <w:rsid w:val="73D610AA"/>
    <w:rsid w:val="746F2FAE"/>
    <w:rsid w:val="758F6C04"/>
    <w:rsid w:val="768D3BBF"/>
    <w:rsid w:val="76FF42CC"/>
    <w:rsid w:val="77732816"/>
    <w:rsid w:val="77F7250F"/>
    <w:rsid w:val="7A4601A0"/>
    <w:rsid w:val="7D972E83"/>
    <w:rsid w:val="7DC728FC"/>
    <w:rsid w:val="7DCF0347"/>
    <w:rsid w:val="7E3F1C43"/>
    <w:rsid w:val="7FF703D3"/>
    <w:rsid w:val="EEFF7149"/>
    <w:rsid w:val="F6FF2247"/>
    <w:rsid w:val="F9FFC654"/>
    <w:rsid w:val="FAFFD87F"/>
    <w:rsid w:val="FEF2C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1538</Words>
  <Characters>2211</Characters>
  <Lines>0</Lines>
  <Paragraphs>0</Paragraphs>
  <TotalTime>50</TotalTime>
  <ScaleCrop>false</ScaleCrop>
  <LinksUpToDate>false</LinksUpToDate>
  <CharactersWithSpaces>2243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2023-02-27T10:08:00Z</dcterms:created>
  <dc:creator>满满</dc:creator>
  <cp:lastModifiedBy>满满</cp:lastModifiedBy>
  <dcterms:modified xsi:type="dcterms:W3CDTF">2023-05-31T09:03:11Z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CA413695517269B4793D74649F0B6099_43</vt:lpwstr>
  </property>
</Properties>
</file>